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5D" w:rsidRDefault="00803B5D" w:rsidP="00803B5D">
      <w:pPr>
        <w:pStyle w:val="a"/>
        <w:ind w:firstLine="709"/>
        <w:jc w:val="center"/>
        <w:rPr>
          <w:b/>
          <w:bCs w:val="0"/>
        </w:rPr>
      </w:pPr>
      <w:bookmarkStart w:id="0" w:name="_GoBack"/>
      <w:bookmarkEnd w:id="0"/>
    </w:p>
    <w:p w:rsidR="00C9774C" w:rsidRDefault="00C9774C" w:rsidP="00C9774C">
      <w:pPr>
        <w:pStyle w:val="a"/>
        <w:ind w:left="284"/>
        <w:rPr>
          <w:b/>
          <w:bCs w:val="0"/>
          <w:sz w:val="32"/>
          <w:szCs w:val="32"/>
        </w:rPr>
      </w:pPr>
      <w:r>
        <w:rPr>
          <w:b/>
          <w:bCs w:val="0"/>
          <w:noProof/>
          <w:lang w:eastAsia="ru-RU"/>
        </w:rPr>
        <w:drawing>
          <wp:inline distT="0" distB="0" distL="0" distR="0" wp14:anchorId="57731F8F" wp14:editId="768EA323">
            <wp:extent cx="5705475" cy="2705100"/>
            <wp:effectExtent l="0" t="0" r="9525" b="0"/>
            <wp:docPr id="1" name="Рисунок 1" descr="Описание: C:\Users\r.yaniv\Documents\Загрузки\Биржа_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r.yaniv\Documents\Загрузки\Биржа_бл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B5D" w:rsidRPr="00AE34E2" w:rsidRDefault="008B4003" w:rsidP="00803B5D">
      <w:pPr>
        <w:pStyle w:val="a"/>
        <w:ind w:firstLine="709"/>
        <w:jc w:val="center"/>
        <w:rPr>
          <w:b/>
          <w:bCs w:val="0"/>
          <w:sz w:val="32"/>
          <w:szCs w:val="32"/>
          <w:lang w:val="en-US"/>
        </w:rPr>
      </w:pPr>
      <w:r>
        <w:rPr>
          <w:b/>
          <w:bCs w:val="0"/>
          <w:sz w:val="32"/>
          <w:szCs w:val="32"/>
          <w:lang w:val="en-US"/>
        </w:rPr>
        <w:t>Belarusian</w:t>
      </w:r>
      <w:r w:rsidRPr="00AE34E2">
        <w:rPr>
          <w:b/>
          <w:bCs w:val="0"/>
          <w:sz w:val="32"/>
          <w:szCs w:val="32"/>
          <w:lang w:val="en-US"/>
        </w:rPr>
        <w:t xml:space="preserve"> </w:t>
      </w:r>
      <w:r>
        <w:rPr>
          <w:b/>
          <w:bCs w:val="0"/>
          <w:sz w:val="32"/>
          <w:szCs w:val="32"/>
          <w:lang w:val="en-US"/>
        </w:rPr>
        <w:t>Universal</w:t>
      </w:r>
      <w:r w:rsidRPr="00AE34E2">
        <w:rPr>
          <w:b/>
          <w:bCs w:val="0"/>
          <w:sz w:val="32"/>
          <w:szCs w:val="32"/>
          <w:lang w:val="en-US"/>
        </w:rPr>
        <w:t xml:space="preserve"> </w:t>
      </w:r>
      <w:r>
        <w:rPr>
          <w:b/>
          <w:bCs w:val="0"/>
          <w:sz w:val="32"/>
          <w:szCs w:val="32"/>
          <w:lang w:val="en-US"/>
        </w:rPr>
        <w:t>Commodity</w:t>
      </w:r>
      <w:r w:rsidRPr="00AE34E2">
        <w:rPr>
          <w:b/>
          <w:bCs w:val="0"/>
          <w:sz w:val="32"/>
          <w:szCs w:val="32"/>
          <w:lang w:val="en-US"/>
        </w:rPr>
        <w:t xml:space="preserve"> </w:t>
      </w:r>
      <w:r>
        <w:rPr>
          <w:b/>
          <w:bCs w:val="0"/>
          <w:sz w:val="32"/>
          <w:szCs w:val="32"/>
          <w:lang w:val="en-US"/>
        </w:rPr>
        <w:t>Exchange</w:t>
      </w:r>
    </w:p>
    <w:p w:rsidR="00803B5D" w:rsidRPr="00AE34E2" w:rsidRDefault="00803B5D" w:rsidP="00803B5D">
      <w:pPr>
        <w:pStyle w:val="a"/>
        <w:ind w:firstLine="709"/>
        <w:jc w:val="center"/>
        <w:rPr>
          <w:b/>
          <w:bCs w:val="0"/>
          <w:sz w:val="38"/>
          <w:szCs w:val="38"/>
          <w:lang w:val="en-US"/>
        </w:rPr>
      </w:pPr>
    </w:p>
    <w:p w:rsidR="00916B8D" w:rsidRPr="00E015DC" w:rsidRDefault="008B4003" w:rsidP="00F8596D">
      <w:pPr>
        <w:pStyle w:val="a"/>
        <w:ind w:firstLine="709"/>
        <w:rPr>
          <w:lang w:val="en-US"/>
        </w:rPr>
      </w:pPr>
      <w:r w:rsidRPr="00E015DC">
        <w:rPr>
          <w:b/>
          <w:bCs w:val="0"/>
          <w:lang w:val="en-US"/>
        </w:rPr>
        <w:t>Belarusian Universal Commodity Exchange</w:t>
      </w:r>
      <w:r w:rsidR="00803B5D" w:rsidRPr="00E015DC">
        <w:rPr>
          <w:b/>
          <w:bCs w:val="0"/>
          <w:lang w:val="en-US"/>
        </w:rPr>
        <w:t xml:space="preserve"> (</w:t>
      </w:r>
      <w:r w:rsidRPr="00E015DC">
        <w:rPr>
          <w:b/>
          <w:bCs w:val="0"/>
          <w:lang w:val="en-US"/>
        </w:rPr>
        <w:t>BUCE</w:t>
      </w:r>
      <w:r w:rsidR="00803B5D" w:rsidRPr="00E015DC">
        <w:rPr>
          <w:b/>
          <w:bCs w:val="0"/>
          <w:lang w:val="en-US"/>
        </w:rPr>
        <w:t>)</w:t>
      </w:r>
      <w:r w:rsidR="00803B5D" w:rsidRPr="00E015DC">
        <w:rPr>
          <w:lang w:val="en-US"/>
        </w:rPr>
        <w:t xml:space="preserve"> </w:t>
      </w:r>
      <w:r w:rsidRPr="00E015DC">
        <w:rPr>
          <w:lang w:val="en-US"/>
        </w:rPr>
        <w:t>is the only mercantile exchange</w:t>
      </w:r>
      <w:r w:rsidR="002A314B" w:rsidRPr="00E015DC">
        <w:rPr>
          <w:lang w:val="en-US"/>
        </w:rPr>
        <w:t xml:space="preserve"> in the Republic of Belarus</w:t>
      </w:r>
      <w:r w:rsidR="00F505AF" w:rsidRPr="00E015DC">
        <w:rPr>
          <w:lang w:val="en-US"/>
        </w:rPr>
        <w:t xml:space="preserve"> and one of the largest spot exchanges of Eastern Europe. Founded in 2004, BUCE is a crucial economic institution </w:t>
      </w:r>
      <w:r w:rsidR="00561695" w:rsidRPr="00E015DC">
        <w:rPr>
          <w:lang w:val="en-US"/>
        </w:rPr>
        <w:t xml:space="preserve">ensuring </w:t>
      </w:r>
      <w:r w:rsidR="00565ECC" w:rsidRPr="00E015DC">
        <w:rPr>
          <w:lang w:val="en-US"/>
        </w:rPr>
        <w:t>implementation of</w:t>
      </w:r>
      <w:r w:rsidR="00A83558" w:rsidRPr="00E015DC">
        <w:rPr>
          <w:lang w:val="en-US"/>
        </w:rPr>
        <w:t xml:space="preserve"> market pricing principles and equal access to commodities for all market participants.</w:t>
      </w:r>
      <w:r w:rsidR="00803B5D" w:rsidRPr="00E015DC">
        <w:rPr>
          <w:lang w:val="en-US"/>
        </w:rPr>
        <w:t xml:space="preserve"> </w:t>
      </w:r>
      <w:r w:rsidR="00DA60EC" w:rsidRPr="00E015DC">
        <w:rPr>
          <w:lang w:val="en-US"/>
        </w:rPr>
        <w:t xml:space="preserve">Besides fostering a healthy competitive environment and setting </w:t>
      </w:r>
      <w:r w:rsidR="008B57DD" w:rsidRPr="00E015DC">
        <w:rPr>
          <w:lang w:val="en-US"/>
        </w:rPr>
        <w:t xml:space="preserve">a fair price range, the Exchange also contributes to the development of an organized wholesale market, facilitates </w:t>
      </w:r>
      <w:r w:rsidR="00314640" w:rsidRPr="00E015DC">
        <w:rPr>
          <w:lang w:val="en-US"/>
        </w:rPr>
        <w:t>movement of goods from</w:t>
      </w:r>
      <w:r w:rsidR="00B17AD8" w:rsidRPr="00E015DC">
        <w:rPr>
          <w:lang w:val="en-US"/>
        </w:rPr>
        <w:t xml:space="preserve"> manufacturers to customers and increases the </w:t>
      </w:r>
      <w:r w:rsidR="00F8596D" w:rsidRPr="00E015DC">
        <w:rPr>
          <w:lang w:val="en-US"/>
        </w:rPr>
        <w:t xml:space="preserve">overall </w:t>
      </w:r>
      <w:r w:rsidR="00B17AD8" w:rsidRPr="00E015DC">
        <w:rPr>
          <w:lang w:val="en-US"/>
        </w:rPr>
        <w:t>transparency</w:t>
      </w:r>
      <w:r w:rsidR="00F8596D" w:rsidRPr="00E015DC">
        <w:rPr>
          <w:lang w:val="en-US"/>
        </w:rPr>
        <w:t xml:space="preserve"> of wholesale trade.</w:t>
      </w:r>
    </w:p>
    <w:p w:rsidR="00803B5D" w:rsidRPr="00E015DC" w:rsidRDefault="00EF1000" w:rsidP="00EF1000">
      <w:pPr>
        <w:pStyle w:val="a"/>
        <w:ind w:firstLine="709"/>
        <w:rPr>
          <w:lang w:val="en-US"/>
        </w:rPr>
      </w:pPr>
      <w:r w:rsidRPr="00E015DC">
        <w:rPr>
          <w:lang w:val="en-US"/>
        </w:rPr>
        <w:t>Over 3000 commodity items are listed at the Exchange.</w:t>
      </w:r>
      <w:r w:rsidR="00803B5D" w:rsidRPr="00E015DC">
        <w:rPr>
          <w:lang w:val="en-US"/>
        </w:rPr>
        <w:t xml:space="preserve"> </w:t>
      </w:r>
      <w:r w:rsidRPr="00E015DC">
        <w:rPr>
          <w:lang w:val="en-US"/>
        </w:rPr>
        <w:t>All of them are subdivided into the following major categories:</w:t>
      </w:r>
    </w:p>
    <w:p w:rsidR="007D23BF" w:rsidRPr="00E015DC" w:rsidRDefault="00F62D28" w:rsidP="006E61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hyperlink r:id="rId10" w:history="1">
        <w:r w:rsidR="00EF1000" w:rsidRPr="00E015DC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 w:eastAsia="ru-RU"/>
          </w:rPr>
          <w:t>Metal products</w:t>
        </w:r>
      </w:hyperlink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: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ferrous and non-ferrous metals and articles thereof, scrap and waste of ferrous and non-ferrous metals, cabling and wires, coke, and coal. 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  </w:t>
      </w:r>
    </w:p>
    <w:p w:rsidR="007D23BF" w:rsidRPr="00E015DC" w:rsidRDefault="00F62D28" w:rsidP="001D73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hyperlink r:id="rId11" w:history="1">
        <w:r w:rsidR="006E612D" w:rsidRPr="00E015DC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 w:eastAsia="ru-RU"/>
          </w:rPr>
          <w:t>Timber products</w:t>
        </w:r>
      </w:hyperlink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: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round wood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sawn timber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wood boards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plywood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paper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cardboard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6E612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wood chips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1D73E8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fuel briquettes and pellets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1D73E8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timber harvesting services</w:t>
      </w:r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.</w:t>
      </w:r>
    </w:p>
    <w:p w:rsidR="007D23BF" w:rsidRPr="00E015DC" w:rsidRDefault="00F62D28" w:rsidP="005602C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hyperlink r:id="rId12" w:history="1">
        <w:r w:rsidR="001D73E8" w:rsidRPr="00E015DC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 w:eastAsia="ru-RU"/>
          </w:rPr>
          <w:t>Agricultural products</w:t>
        </w:r>
      </w:hyperlink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: </w:t>
      </w:r>
      <w:r w:rsidR="001D73E8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milk and whey powder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1D73E8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industrial casein</w:t>
      </w:r>
      <w:r w:rsidR="0024303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dairy butter</w:t>
      </w:r>
      <w:r w:rsidR="0024303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cottage cheese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rennet cheeses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meat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flour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rawhides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DC1C71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oilcakes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, </w:t>
      </w:r>
      <w:r w:rsidR="005602C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vegetable oils and seeds</w:t>
      </w:r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.</w:t>
      </w:r>
      <w:r w:rsidR="00803B5D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 </w:t>
      </w:r>
    </w:p>
    <w:p w:rsidR="00803B5D" w:rsidRPr="00E015DC" w:rsidRDefault="00F62D28" w:rsidP="006A5A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hyperlink r:id="rId13" w:history="1">
        <w:r w:rsidR="005602C0" w:rsidRPr="00E015DC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 w:eastAsia="ru-RU"/>
          </w:rPr>
          <w:t>Industrial and consumer goods</w:t>
        </w:r>
      </w:hyperlink>
      <w:r w:rsidR="00A9314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: </w:t>
      </w:r>
      <w:r w:rsidR="005602C0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a wide range of commodities – from advanced industrial machinery</w:t>
      </w:r>
      <w:r w:rsidR="006A5A22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 and vehicles to construction materials and food.</w:t>
      </w:r>
    </w:p>
    <w:p w:rsidR="00153EE3" w:rsidRPr="00E015DC" w:rsidRDefault="00153EE3" w:rsidP="00153EE3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</w:p>
    <w:p w:rsidR="008E1A37" w:rsidRPr="00E015DC" w:rsidRDefault="00967F9E" w:rsidP="009B2106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  <w:r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At present, </w:t>
      </w:r>
      <w:hyperlink r:id="rId14" w:history="1">
        <w:r w:rsidR="00811F93" w:rsidRPr="00E015DC">
          <w:rPr>
            <w:rStyle w:val="Hyperlink"/>
            <w:rFonts w:asciiTheme="majorBidi" w:eastAsia="Times New Roman" w:hAnsiTheme="majorBidi" w:cstheme="majorBidi"/>
            <w:sz w:val="28"/>
            <w:szCs w:val="28"/>
            <w:lang w:val="en-US" w:eastAsia="ru-RU"/>
          </w:rPr>
          <w:t>industrial and consumer goods</w:t>
        </w:r>
        <w:r w:rsidR="00B96063" w:rsidRPr="00E015DC">
          <w:rPr>
            <w:rStyle w:val="Hyperlink"/>
            <w:rFonts w:asciiTheme="majorBidi" w:eastAsia="Times New Roman" w:hAnsiTheme="majorBidi" w:cstheme="majorBidi"/>
            <w:sz w:val="28"/>
            <w:szCs w:val="28"/>
            <w:lang w:val="en-US" w:eastAsia="ru-RU"/>
          </w:rPr>
          <w:t xml:space="preserve"> (</w:t>
        </w:r>
        <w:r w:rsidR="00811F93" w:rsidRPr="00E015DC">
          <w:rPr>
            <w:rStyle w:val="Hyperlink"/>
            <w:rFonts w:asciiTheme="majorBidi" w:eastAsia="Times New Roman" w:hAnsiTheme="majorBidi" w:cstheme="majorBidi"/>
            <w:sz w:val="28"/>
            <w:szCs w:val="28"/>
            <w:lang w:val="en-US" w:eastAsia="ru-RU"/>
          </w:rPr>
          <w:t>ICG</w:t>
        </w:r>
        <w:r w:rsidR="00B96063" w:rsidRPr="00E015DC">
          <w:rPr>
            <w:rStyle w:val="Hyperlink"/>
            <w:rFonts w:asciiTheme="majorBidi" w:eastAsia="Times New Roman" w:hAnsiTheme="majorBidi" w:cstheme="majorBidi"/>
            <w:sz w:val="28"/>
            <w:szCs w:val="28"/>
            <w:lang w:val="en-US" w:eastAsia="ru-RU"/>
          </w:rPr>
          <w:t>)</w:t>
        </w:r>
      </w:hyperlink>
      <w:r w:rsidR="00B96063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 </w:t>
      </w:r>
      <w:r w:rsidR="00811F93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trading is </w:t>
      </w:r>
      <w:r w:rsidR="00846AD6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one </w:t>
      </w:r>
      <w:r w:rsidR="00811F93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of BUCE’s </w:t>
      </w:r>
      <w:r w:rsidR="00846AD6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priority areas that offers Belarusian and foreign companies a state-of-the-art and highly efficient tool </w:t>
      </w:r>
      <w:r w:rsidR="009B2106" w:rsidRPr="00E015DC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 xml:space="preserve">for doing business. </w:t>
      </w:r>
    </w:p>
    <w:p w:rsidR="00940BEE" w:rsidRPr="00E015DC" w:rsidRDefault="00940BEE" w:rsidP="008E1A37">
      <w:pPr>
        <w:pStyle w:val="ListParagraph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</w:p>
    <w:p w:rsidR="008E1A37" w:rsidRPr="00E015DC" w:rsidRDefault="00940BEE" w:rsidP="008E1A37">
      <w:pPr>
        <w:pStyle w:val="ListParagraph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Key advantages of ICG platform</w:t>
      </w:r>
      <w:r w:rsidR="008E1A37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8E1A37" w:rsidRPr="00E015DC" w:rsidRDefault="00382B19" w:rsidP="008E1A37">
      <w:pPr>
        <w:pStyle w:val="a"/>
        <w:numPr>
          <w:ilvl w:val="0"/>
          <w:numId w:val="2"/>
        </w:numPr>
        <w:rPr>
          <w:lang w:val="en-US"/>
        </w:rPr>
      </w:pPr>
      <w:r w:rsidRPr="00E015DC">
        <w:rPr>
          <w:lang w:val="en-US"/>
        </w:rPr>
        <w:t>almost unlimited range of tradable commodities</w:t>
      </w:r>
      <w:r w:rsidR="008E1A37" w:rsidRPr="00E015DC">
        <w:rPr>
          <w:lang w:val="en-US"/>
        </w:rPr>
        <w:t>;</w:t>
      </w:r>
    </w:p>
    <w:p w:rsidR="008E1A37" w:rsidRPr="00E015DC" w:rsidRDefault="00382B19" w:rsidP="008E1A37">
      <w:pPr>
        <w:pStyle w:val="a"/>
        <w:numPr>
          <w:ilvl w:val="0"/>
          <w:numId w:val="2"/>
        </w:numPr>
      </w:pPr>
      <w:r w:rsidRPr="00E015DC">
        <w:rPr>
          <w:lang w:val="en-US"/>
        </w:rPr>
        <w:t>trading online 24/7</w:t>
      </w:r>
      <w:r w:rsidR="008E1A37" w:rsidRPr="00E015DC">
        <w:t>;</w:t>
      </w:r>
    </w:p>
    <w:p w:rsidR="008E1A37" w:rsidRPr="00E015DC" w:rsidRDefault="00382B19" w:rsidP="00382B19">
      <w:pPr>
        <w:pStyle w:val="a"/>
        <w:numPr>
          <w:ilvl w:val="0"/>
          <w:numId w:val="2"/>
        </w:numPr>
        <w:rPr>
          <w:lang w:val="en-US"/>
        </w:rPr>
      </w:pPr>
      <w:r w:rsidRPr="00E015DC">
        <w:rPr>
          <w:lang w:val="en-US"/>
        </w:rPr>
        <w:t>free pricing based on supply and demand</w:t>
      </w:r>
      <w:r w:rsidR="008E1A37" w:rsidRPr="00E015DC">
        <w:rPr>
          <w:lang w:val="en-US"/>
        </w:rPr>
        <w:t>;</w:t>
      </w:r>
    </w:p>
    <w:p w:rsidR="008E1A37" w:rsidRPr="00E015DC" w:rsidRDefault="003D4FE7" w:rsidP="008E5281">
      <w:pPr>
        <w:pStyle w:val="a"/>
        <w:numPr>
          <w:ilvl w:val="0"/>
          <w:numId w:val="2"/>
        </w:numPr>
        <w:rPr>
          <w:lang w:val="en-US"/>
        </w:rPr>
      </w:pPr>
      <w:r w:rsidRPr="00E015DC">
        <w:rPr>
          <w:lang w:val="en-US"/>
        </w:rPr>
        <w:t xml:space="preserve">thousands of </w:t>
      </w:r>
      <w:r w:rsidR="008E5281" w:rsidRPr="00E015DC">
        <w:rPr>
          <w:lang w:val="en-US"/>
        </w:rPr>
        <w:t>buyers and seller from</w:t>
      </w:r>
      <w:r w:rsidR="00FA367D" w:rsidRPr="00E015DC">
        <w:rPr>
          <w:lang w:val="en-US"/>
        </w:rPr>
        <w:t xml:space="preserve"> </w:t>
      </w:r>
      <w:r w:rsidR="008E1A37" w:rsidRPr="00E015DC">
        <w:rPr>
          <w:lang w:val="en-US"/>
        </w:rPr>
        <w:t xml:space="preserve">57 </w:t>
      </w:r>
      <w:r w:rsidR="008E5281" w:rsidRPr="00E015DC">
        <w:rPr>
          <w:lang w:val="en-US"/>
        </w:rPr>
        <w:t>countries gathered in one place</w:t>
      </w:r>
      <w:r w:rsidR="008E1A37" w:rsidRPr="00E015DC">
        <w:rPr>
          <w:lang w:val="en-US"/>
        </w:rPr>
        <w:t>;</w:t>
      </w:r>
    </w:p>
    <w:p w:rsidR="008E1A37" w:rsidRPr="00E015DC" w:rsidRDefault="003D4FE7" w:rsidP="008E1A37">
      <w:pPr>
        <w:pStyle w:val="a"/>
        <w:numPr>
          <w:ilvl w:val="0"/>
          <w:numId w:val="2"/>
        </w:numPr>
      </w:pPr>
      <w:r w:rsidRPr="00E015DC">
        <w:rPr>
          <w:lang w:val="en-US"/>
        </w:rPr>
        <w:lastRenderedPageBreak/>
        <w:t>exchange transactions execution control</w:t>
      </w:r>
      <w:r w:rsidR="008E1A37" w:rsidRPr="00E015DC">
        <w:t>;</w:t>
      </w:r>
    </w:p>
    <w:p w:rsidR="008E1A37" w:rsidRPr="00E015DC" w:rsidRDefault="00C94C9E" w:rsidP="00CA50A3">
      <w:pPr>
        <w:pStyle w:val="a"/>
        <w:numPr>
          <w:ilvl w:val="0"/>
          <w:numId w:val="2"/>
        </w:numPr>
        <w:rPr>
          <w:lang w:val="en-US"/>
        </w:rPr>
      </w:pPr>
      <w:r w:rsidRPr="00E015DC">
        <w:rPr>
          <w:lang w:val="en-US"/>
        </w:rPr>
        <w:t>zero</w:t>
      </w:r>
      <w:r w:rsidR="00CA50A3" w:rsidRPr="00E015DC">
        <w:rPr>
          <w:lang w:val="en-US"/>
        </w:rPr>
        <w:t xml:space="preserve"> advertising and marketing</w:t>
      </w:r>
      <w:r w:rsidRPr="00E015DC">
        <w:rPr>
          <w:lang w:val="en-US"/>
        </w:rPr>
        <w:t xml:space="preserve"> costs</w:t>
      </w:r>
      <w:r w:rsidR="000831F4" w:rsidRPr="00E015DC">
        <w:rPr>
          <w:lang w:val="en-US"/>
        </w:rPr>
        <w:t>.</w:t>
      </w:r>
    </w:p>
    <w:p w:rsidR="007D23BF" w:rsidRPr="00E015DC" w:rsidRDefault="007D23BF" w:rsidP="00407755">
      <w:pPr>
        <w:pStyle w:val="a"/>
        <w:ind w:firstLine="709"/>
        <w:rPr>
          <w:lang w:val="en-US"/>
        </w:rPr>
      </w:pPr>
    </w:p>
    <w:p w:rsidR="00FA367D" w:rsidRPr="00E015DC" w:rsidRDefault="00233071" w:rsidP="00792CB4">
      <w:pPr>
        <w:pStyle w:val="a"/>
        <w:ind w:firstLine="709"/>
        <w:rPr>
          <w:lang w:val="en-US"/>
        </w:rPr>
      </w:pPr>
      <w:r w:rsidRPr="00E015DC">
        <w:rPr>
          <w:lang w:val="en-US"/>
        </w:rPr>
        <w:t xml:space="preserve">One of the main features that makes ICG platform stand out among other international trading platforms is that only accredited companies with unblemished reputation </w:t>
      </w:r>
      <w:r w:rsidR="00A55777" w:rsidRPr="00E015DC">
        <w:rPr>
          <w:lang w:val="en-US"/>
        </w:rPr>
        <w:t xml:space="preserve">and credit rating </w:t>
      </w:r>
      <w:r w:rsidRPr="00E015DC">
        <w:rPr>
          <w:lang w:val="en-US"/>
        </w:rPr>
        <w:t>are allowed to p</w:t>
      </w:r>
      <w:r w:rsidR="00214068" w:rsidRPr="00E015DC">
        <w:rPr>
          <w:lang w:val="en-US"/>
        </w:rPr>
        <w:t>articipate in exchange auctions. Moreover, the entire trading process is strictly monitored by the Exchange</w:t>
      </w:r>
      <w:r w:rsidR="00792CB4" w:rsidRPr="00E015DC">
        <w:rPr>
          <w:lang w:val="en-US"/>
        </w:rPr>
        <w:t xml:space="preserve"> so that all contractual obligations were fulfilled</w:t>
      </w:r>
      <w:r w:rsidR="008E1A37" w:rsidRPr="00E015DC">
        <w:rPr>
          <w:lang w:val="en-US"/>
        </w:rPr>
        <w:t>.</w:t>
      </w:r>
      <w:r w:rsidR="00FA367D" w:rsidRPr="00E015DC">
        <w:rPr>
          <w:lang w:val="en-US"/>
        </w:rPr>
        <w:t xml:space="preserve"> </w:t>
      </w:r>
    </w:p>
    <w:p w:rsidR="00407755" w:rsidRPr="00E015DC" w:rsidRDefault="00AE34E2" w:rsidP="007A3B9E">
      <w:pPr>
        <w:pStyle w:val="a"/>
        <w:ind w:firstLine="709"/>
        <w:rPr>
          <w:lang w:val="en-US"/>
        </w:rPr>
      </w:pPr>
      <w:r w:rsidRPr="00E015DC">
        <w:rPr>
          <w:lang w:val="en-US"/>
        </w:rPr>
        <w:t>Thanks to electronic document interchange, one can trade at</w:t>
      </w:r>
      <w:r w:rsidR="007A3B9E" w:rsidRPr="00E015DC">
        <w:rPr>
          <w:lang w:val="en-US"/>
        </w:rPr>
        <w:t xml:space="preserve"> ICG platform from any part of the world, while the multilingual interface of the trading system allows placing bids and offers in English and Russian languages.</w:t>
      </w:r>
    </w:p>
    <w:p w:rsidR="00407755" w:rsidRPr="00E015DC" w:rsidRDefault="0063732A" w:rsidP="0063732A">
      <w:pPr>
        <w:pStyle w:val="a"/>
        <w:ind w:firstLine="709"/>
        <w:rPr>
          <w:lang w:val="en-US"/>
        </w:rPr>
      </w:pPr>
      <w:r w:rsidRPr="00E015DC">
        <w:rPr>
          <w:lang w:val="en-US"/>
        </w:rPr>
        <w:t xml:space="preserve">Apart from the price, the participants of exchange auctions can also negotiate quantity, terms of payment and delivery period. </w:t>
      </w:r>
      <w:r w:rsidR="00407755" w:rsidRPr="00E015DC">
        <w:rPr>
          <w:lang w:val="en-US"/>
        </w:rPr>
        <w:t xml:space="preserve">  </w:t>
      </w:r>
    </w:p>
    <w:p w:rsidR="00407755" w:rsidRPr="00E015DC" w:rsidRDefault="00D55EBC" w:rsidP="00987EF4">
      <w:pPr>
        <w:pStyle w:val="a"/>
        <w:ind w:firstLine="709"/>
        <w:rPr>
          <w:lang w:val="en-US"/>
        </w:rPr>
      </w:pPr>
      <w:r w:rsidRPr="00E015DC">
        <w:rPr>
          <w:lang w:val="en-US"/>
        </w:rPr>
        <w:t>One can participate in trades either on one’s own having passed the accredi</w:t>
      </w:r>
      <w:r w:rsidR="00DC2EAC" w:rsidRPr="00E015DC">
        <w:rPr>
          <w:lang w:val="en-US"/>
        </w:rPr>
        <w:t xml:space="preserve">tation and received an </w:t>
      </w:r>
      <w:hyperlink r:id="rId15" w:history="1">
        <w:r w:rsidR="00DC2EAC" w:rsidRPr="00E015DC">
          <w:rPr>
            <w:rStyle w:val="Hyperlink"/>
            <w:lang w:val="en-US"/>
          </w:rPr>
          <w:t>electronic digital signature</w:t>
        </w:r>
        <w:r w:rsidR="00D21D71" w:rsidRPr="00E015DC">
          <w:rPr>
            <w:rStyle w:val="Hyperlink"/>
            <w:lang w:val="en-US"/>
          </w:rPr>
          <w:t xml:space="preserve"> (</w:t>
        </w:r>
        <w:r w:rsidR="00DC2EAC" w:rsidRPr="00E015DC">
          <w:rPr>
            <w:rStyle w:val="Hyperlink"/>
            <w:lang w:val="en-US"/>
          </w:rPr>
          <w:t>EDS</w:t>
        </w:r>
        <w:r w:rsidR="00D21D71" w:rsidRPr="00E015DC">
          <w:rPr>
            <w:rStyle w:val="Hyperlink"/>
            <w:lang w:val="en-US"/>
          </w:rPr>
          <w:t>)</w:t>
        </w:r>
      </w:hyperlink>
      <w:r w:rsidR="00407755" w:rsidRPr="00E015DC">
        <w:rPr>
          <w:lang w:val="en-US"/>
        </w:rPr>
        <w:t xml:space="preserve">, </w:t>
      </w:r>
      <w:r w:rsidR="00DC2EAC" w:rsidRPr="00E015DC">
        <w:rPr>
          <w:lang w:val="en-US"/>
        </w:rPr>
        <w:t xml:space="preserve">or through an </w:t>
      </w:r>
      <w:hyperlink r:id="rId16" w:history="1">
        <w:r w:rsidR="00DC2EAC" w:rsidRPr="00E015DC">
          <w:rPr>
            <w:rStyle w:val="Hyperlink"/>
            <w:lang w:val="en-US"/>
          </w:rPr>
          <w:t>exchange</w:t>
        </w:r>
      </w:hyperlink>
      <w:r w:rsidR="00DC2EAC" w:rsidRPr="00E015DC">
        <w:rPr>
          <w:rStyle w:val="Hyperlink"/>
          <w:lang w:val="en-US"/>
        </w:rPr>
        <w:t xml:space="preserve"> broker</w:t>
      </w:r>
      <w:r w:rsidR="00407755" w:rsidRPr="00E015DC">
        <w:rPr>
          <w:lang w:val="en-US"/>
        </w:rPr>
        <w:t xml:space="preserve">. </w:t>
      </w:r>
      <w:r w:rsidR="00987EF4" w:rsidRPr="00E015DC">
        <w:rPr>
          <w:lang w:val="en-US"/>
        </w:rPr>
        <w:t xml:space="preserve">In the latter case no EDS is required. </w:t>
      </w:r>
      <w:r w:rsidR="00407755" w:rsidRPr="00E015DC">
        <w:rPr>
          <w:lang w:val="en-US"/>
        </w:rPr>
        <w:t xml:space="preserve"> </w:t>
      </w:r>
    </w:p>
    <w:p w:rsidR="003844A8" w:rsidRPr="00E015DC" w:rsidRDefault="00691B8C" w:rsidP="00140A9D">
      <w:pPr>
        <w:pStyle w:val="a"/>
        <w:ind w:firstLine="709"/>
        <w:rPr>
          <w:b/>
          <w:bCs w:val="0"/>
          <w:lang w:val="en-US"/>
        </w:rPr>
      </w:pPr>
      <w:r w:rsidRPr="00E015DC">
        <w:rPr>
          <w:lang w:val="en-US"/>
        </w:rPr>
        <w:t>All participants of exchange auctions are also able to use BUCE’s subaccount for</w:t>
      </w:r>
      <w:r w:rsidR="00790072" w:rsidRPr="00E015DC">
        <w:rPr>
          <w:lang w:val="en-US"/>
        </w:rPr>
        <w:t xml:space="preserve"> </w:t>
      </w:r>
      <w:r w:rsidR="00A26099" w:rsidRPr="00E015DC">
        <w:rPr>
          <w:lang w:val="en-US"/>
        </w:rPr>
        <w:t>settlements under exchange transactions</w:t>
      </w:r>
      <w:r w:rsidR="008F7397" w:rsidRPr="00E015DC">
        <w:rPr>
          <w:lang w:val="en-US"/>
        </w:rPr>
        <w:t>.</w:t>
      </w:r>
      <w:r w:rsidR="003E4BA1" w:rsidRPr="00E015DC">
        <w:rPr>
          <w:lang w:val="en-US"/>
        </w:rPr>
        <w:t xml:space="preserve"> This instrument is similar to a letter of credit with the only difference that unlike a bank BUCE does not take any payment for this service</w:t>
      </w:r>
      <w:r w:rsidR="00830CFA" w:rsidRPr="00E015DC">
        <w:rPr>
          <w:lang w:val="en-US"/>
        </w:rPr>
        <w:t xml:space="preserve">. The use of the subaccount enables the seller to claim payment for the shipped goods only after the buyer confirms their acceptance. This way </w:t>
      </w:r>
      <w:r w:rsidR="00140A9D" w:rsidRPr="00E015DC">
        <w:rPr>
          <w:lang w:val="en-US"/>
        </w:rPr>
        <w:t>all non-payment and non-delivery risks are reduced to the minimum.</w:t>
      </w:r>
      <w:r w:rsidR="003844A8" w:rsidRPr="00E015DC">
        <w:rPr>
          <w:b/>
          <w:bCs w:val="0"/>
          <w:lang w:val="en-US"/>
        </w:rPr>
        <w:t xml:space="preserve"> </w:t>
      </w:r>
    </w:p>
    <w:p w:rsidR="00042BFC" w:rsidRPr="00E015DC" w:rsidRDefault="00441F9B" w:rsidP="00441F9B">
      <w:pPr>
        <w:pStyle w:val="a"/>
        <w:ind w:firstLine="709"/>
        <w:rPr>
          <w:lang w:val="en-US"/>
        </w:rPr>
      </w:pPr>
      <w:r w:rsidRPr="00E015DC">
        <w:rPr>
          <w:lang w:val="en-US"/>
        </w:rPr>
        <w:t>Goods purchased at the Exchange are delivered by means of the</w:t>
      </w:r>
      <w:r w:rsidR="00042BFC" w:rsidRPr="00E015DC">
        <w:rPr>
          <w:lang w:val="en-US"/>
        </w:rPr>
        <w:t xml:space="preserve"> </w:t>
      </w:r>
      <w:hyperlink r:id="rId17" w:history="1">
        <w:r w:rsidRPr="00E015DC">
          <w:rPr>
            <w:rStyle w:val="Hyperlink"/>
            <w:lang w:val="en-US"/>
          </w:rPr>
          <w:t>exchange</w:t>
        </w:r>
        <w:r w:rsidR="00042BFC" w:rsidRPr="00E015DC">
          <w:rPr>
            <w:rStyle w:val="Hyperlink"/>
            <w:lang w:val="en-US"/>
          </w:rPr>
          <w:t xml:space="preserve"> </w:t>
        </w:r>
        <w:r w:rsidRPr="00E015DC">
          <w:rPr>
            <w:rStyle w:val="Hyperlink"/>
            <w:lang w:val="en-US"/>
          </w:rPr>
          <w:t>logistics</w:t>
        </w:r>
      </w:hyperlink>
      <w:r w:rsidRPr="00E015DC">
        <w:rPr>
          <w:lang w:val="en-US"/>
        </w:rPr>
        <w:t xml:space="preserve"> mechanism</w:t>
      </w:r>
      <w:r w:rsidR="00042BFC" w:rsidRPr="00E015DC">
        <w:rPr>
          <w:lang w:val="en-US"/>
        </w:rPr>
        <w:t xml:space="preserve"> </w:t>
      </w:r>
      <w:r w:rsidRPr="00E015DC">
        <w:rPr>
          <w:lang w:val="en-US"/>
        </w:rPr>
        <w:t>that comprises three elements</w:t>
      </w:r>
      <w:r w:rsidR="00042BFC" w:rsidRPr="00E015DC">
        <w:rPr>
          <w:lang w:val="en-US"/>
        </w:rPr>
        <w:t xml:space="preserve">: </w:t>
      </w:r>
      <w:r w:rsidRPr="00E015DC">
        <w:rPr>
          <w:b/>
          <w:bCs w:val="0"/>
          <w:lang w:val="en-US"/>
        </w:rPr>
        <w:t xml:space="preserve">exchange warehouses, exchange carriers </w:t>
      </w:r>
      <w:r w:rsidRPr="00E015DC">
        <w:rPr>
          <w:lang w:val="en-US"/>
        </w:rPr>
        <w:t>and</w:t>
      </w:r>
      <w:r w:rsidRPr="00E015DC">
        <w:rPr>
          <w:b/>
          <w:bCs w:val="0"/>
          <w:lang w:val="en-US"/>
        </w:rPr>
        <w:t xml:space="preserve"> exchange experts</w:t>
      </w:r>
      <w:r w:rsidRPr="00E015DC">
        <w:rPr>
          <w:lang w:val="en-US"/>
        </w:rPr>
        <w:t>.</w:t>
      </w:r>
      <w:r w:rsidRPr="00E015DC">
        <w:rPr>
          <w:b/>
          <w:bCs w:val="0"/>
          <w:lang w:val="en-US"/>
        </w:rPr>
        <w:t xml:space="preserve"> </w:t>
      </w:r>
      <w:r w:rsidR="00042BFC" w:rsidRPr="00E015DC">
        <w:rPr>
          <w:b/>
          <w:bCs w:val="0"/>
          <w:lang w:val="en-US"/>
        </w:rPr>
        <w:t xml:space="preserve"> </w:t>
      </w:r>
    </w:p>
    <w:p w:rsidR="00042BFC" w:rsidRPr="00E015DC" w:rsidRDefault="009F69A7" w:rsidP="009313DB">
      <w:pPr>
        <w:pStyle w:val="a"/>
        <w:ind w:firstLine="709"/>
        <w:rPr>
          <w:lang w:val="en-US"/>
        </w:rPr>
      </w:pPr>
      <w:r w:rsidRPr="00E015DC">
        <w:rPr>
          <w:b/>
          <w:bCs w:val="0"/>
          <w:lang w:val="en-US"/>
        </w:rPr>
        <w:t>Exchange warehouses</w:t>
      </w:r>
      <w:r w:rsidRPr="00E015DC">
        <w:rPr>
          <w:lang w:val="en-US"/>
        </w:rPr>
        <w:t xml:space="preserve"> registered abroad bring the goods as close to the </w:t>
      </w:r>
      <w:r w:rsidR="00393829" w:rsidRPr="00E015DC">
        <w:rPr>
          <w:lang w:val="en-US"/>
        </w:rPr>
        <w:t xml:space="preserve">buyer as possible allowing to </w:t>
      </w:r>
      <w:r w:rsidRPr="00E015DC">
        <w:rPr>
          <w:lang w:val="en-US"/>
        </w:rPr>
        <w:t>collect</w:t>
      </w:r>
      <w:r w:rsidR="00393829" w:rsidRPr="00E015DC">
        <w:rPr>
          <w:lang w:val="en-US"/>
        </w:rPr>
        <w:t xml:space="preserve"> them on DAP terms from </w:t>
      </w:r>
      <w:r w:rsidR="009313DB" w:rsidRPr="00E015DC">
        <w:rPr>
          <w:lang w:val="en-US"/>
        </w:rPr>
        <w:t xml:space="preserve">an exchange warehouse </w:t>
      </w:r>
      <w:r w:rsidR="00393829" w:rsidRPr="00E015DC">
        <w:rPr>
          <w:lang w:val="en-US"/>
        </w:rPr>
        <w:t xml:space="preserve">  </w:t>
      </w:r>
      <w:r w:rsidRPr="00E015DC">
        <w:rPr>
          <w:lang w:val="en-US"/>
        </w:rPr>
        <w:t xml:space="preserve"> </w:t>
      </w:r>
      <w:r w:rsidR="009313DB" w:rsidRPr="00E015DC">
        <w:rPr>
          <w:lang w:val="en-US"/>
        </w:rPr>
        <w:t>located in the country of destination.</w:t>
      </w:r>
    </w:p>
    <w:p w:rsidR="00042BFC" w:rsidRPr="00E015DC" w:rsidRDefault="000237F5" w:rsidP="00D76FE0">
      <w:pPr>
        <w:pStyle w:val="a"/>
        <w:ind w:firstLine="709"/>
        <w:rPr>
          <w:bCs w:val="0"/>
          <w:lang w:val="en-US"/>
        </w:rPr>
      </w:pPr>
      <w:r w:rsidRPr="00E015DC">
        <w:rPr>
          <w:lang w:val="en-US"/>
        </w:rPr>
        <w:t xml:space="preserve">Exchange carriers (leading Belarusian and foreign shipping companies </w:t>
      </w:r>
      <w:r w:rsidR="00D76FE0" w:rsidRPr="00E015DC">
        <w:rPr>
          <w:lang w:val="en-US"/>
        </w:rPr>
        <w:t>cooperating with BUCE) are responsible for delivering purchased goods to exchange warehouses and other locations convenient for the buyer.</w:t>
      </w:r>
      <w:r w:rsidRPr="00E015DC">
        <w:rPr>
          <w:lang w:val="en-US"/>
        </w:rPr>
        <w:t xml:space="preserve"> </w:t>
      </w:r>
      <w:r w:rsidR="000D4923" w:rsidRPr="00E015DC">
        <w:rPr>
          <w:lang w:val="en-US"/>
        </w:rPr>
        <w:t xml:space="preserve"> </w:t>
      </w:r>
    </w:p>
    <w:p w:rsidR="0046453B" w:rsidRPr="00E015DC" w:rsidRDefault="00D76FE0" w:rsidP="00E325DB">
      <w:pPr>
        <w:pStyle w:val="a"/>
        <w:ind w:firstLine="709"/>
        <w:rPr>
          <w:b/>
          <w:bCs w:val="0"/>
          <w:lang w:val="en-US"/>
        </w:rPr>
      </w:pPr>
      <w:r w:rsidRPr="00E015DC">
        <w:rPr>
          <w:lang w:val="en-US"/>
        </w:rPr>
        <w:t xml:space="preserve">The quality </w:t>
      </w:r>
      <w:r w:rsidR="006C115F" w:rsidRPr="00E015DC">
        <w:rPr>
          <w:lang w:val="en-US"/>
        </w:rPr>
        <w:t xml:space="preserve">of delivered products is ensured by yet another </w:t>
      </w:r>
      <w:r w:rsidR="00E325DB" w:rsidRPr="00E015DC">
        <w:rPr>
          <w:lang w:val="en-US"/>
        </w:rPr>
        <w:t xml:space="preserve">element of the exchange logistics mechanism – </w:t>
      </w:r>
      <w:r w:rsidR="00E325DB" w:rsidRPr="00E015DC">
        <w:rPr>
          <w:b/>
          <w:bCs w:val="0"/>
          <w:lang w:val="en-US"/>
        </w:rPr>
        <w:t>exchange experts</w:t>
      </w:r>
      <w:r w:rsidR="00E325DB" w:rsidRPr="00E015DC">
        <w:rPr>
          <w:lang w:val="en-US"/>
        </w:rPr>
        <w:t xml:space="preserve">. </w:t>
      </w:r>
      <w:r w:rsidR="0046453B" w:rsidRPr="00E015DC">
        <w:rPr>
          <w:lang w:val="en-US"/>
        </w:rPr>
        <w:t xml:space="preserve"> </w:t>
      </w:r>
    </w:p>
    <w:p w:rsidR="00803B5D" w:rsidRPr="00E015DC" w:rsidRDefault="00E325DB" w:rsidP="00457E9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EG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BUCE has branches in all regional centers of Belarus as well as offices in Russia, Lithuania, Latvia, Czech Republic, </w:t>
      </w:r>
      <w:r w:rsidR="00457E96" w:rsidRPr="00E015DC">
        <w:rPr>
          <w:rFonts w:asciiTheme="majorBidi" w:hAnsiTheme="majorBidi" w:cstheme="majorBidi"/>
          <w:sz w:val="28"/>
          <w:szCs w:val="28"/>
          <w:lang w:val="en-US"/>
        </w:rPr>
        <w:t xml:space="preserve">Sweden and Turkey that actively promote the Belarusian products in foreign markets. </w:t>
      </w:r>
      <w:r w:rsidR="00803B5D"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803B5D" w:rsidRPr="00E015DC" w:rsidRDefault="00457E96" w:rsidP="00A4181E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BUCE is one of the operators of electronic trading platforms for </w:t>
      </w:r>
      <w:hyperlink r:id="rId18" w:history="1">
        <w:r w:rsidR="008D32EF" w:rsidRPr="00E015DC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government</w:t>
        </w:r>
      </w:hyperlink>
      <w:r w:rsidR="008D32EF" w:rsidRPr="00E015DC">
        <w:rPr>
          <w:rStyle w:val="Hyperlink"/>
          <w:rFonts w:asciiTheme="majorBidi" w:hAnsiTheme="majorBidi" w:cstheme="majorBidi"/>
          <w:sz w:val="28"/>
          <w:szCs w:val="28"/>
          <w:lang w:val="en-US"/>
        </w:rPr>
        <w:t xml:space="preserve"> procurements</w:t>
      </w:r>
      <w:r w:rsidR="00B91A7E" w:rsidRPr="00E015DC">
        <w:rPr>
          <w:rStyle w:val="Hyperlink"/>
          <w:rFonts w:asciiTheme="majorBidi" w:hAnsiTheme="majorBidi" w:cstheme="majorBidi"/>
          <w:sz w:val="28"/>
          <w:szCs w:val="28"/>
          <w:lang w:val="en-US"/>
        </w:rPr>
        <w:t xml:space="preserve"> and quotation request procedures. </w:t>
      </w:r>
      <w:r w:rsidR="00B91A7E" w:rsidRPr="00E015DC">
        <w:rPr>
          <w:rFonts w:asciiTheme="majorBidi" w:hAnsiTheme="majorBidi" w:cstheme="majorBidi"/>
          <w:sz w:val="28"/>
          <w:szCs w:val="28"/>
          <w:lang w:val="en-US"/>
        </w:rPr>
        <w:t xml:space="preserve">Foreign companies that </w:t>
      </w:r>
      <w:r w:rsidR="00A4181E" w:rsidRPr="00E015DC">
        <w:rPr>
          <w:rFonts w:asciiTheme="majorBidi" w:hAnsiTheme="majorBidi" w:cstheme="majorBidi"/>
          <w:sz w:val="28"/>
          <w:szCs w:val="28"/>
          <w:lang w:val="en-US"/>
        </w:rPr>
        <w:t xml:space="preserve">have obtained an electronic digital signature at </w:t>
      </w:r>
      <w:hyperlink r:id="rId19" w:history="1">
        <w:r w:rsidR="00A4181E" w:rsidRPr="00E015DC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BUCE Certifying Authority</w:t>
        </w:r>
      </w:hyperlink>
      <w:r w:rsidR="00803B5D"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4181E" w:rsidRPr="00E015DC">
        <w:rPr>
          <w:rFonts w:asciiTheme="majorBidi" w:hAnsiTheme="majorBidi" w:cstheme="majorBidi"/>
          <w:sz w:val="28"/>
          <w:szCs w:val="28"/>
          <w:lang w:val="en-US"/>
        </w:rPr>
        <w:t>can participate in government procurements on the same terms as Belarusian economic agents.</w:t>
      </w:r>
    </w:p>
    <w:p w:rsidR="00B226D1" w:rsidRPr="00E015DC" w:rsidRDefault="0029267E" w:rsidP="00013B0A">
      <w:pPr>
        <w:spacing w:after="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Besides organizing and holding exchange auctions, BUCE also provides its clients with a whole package of related services. </w:t>
      </w:r>
      <w:r w:rsidR="00303F63" w:rsidRPr="00E015DC">
        <w:rPr>
          <w:rFonts w:asciiTheme="majorBidi" w:hAnsiTheme="majorBidi" w:cstheme="majorBidi"/>
          <w:sz w:val="28"/>
          <w:szCs w:val="28"/>
          <w:lang w:val="en-US"/>
        </w:rPr>
        <w:t>Among the most popular of them are</w:t>
      </w: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B226D1"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hyperlink r:id="rId20" w:history="1">
        <w:r w:rsidR="00303F63" w:rsidRPr="00E015DC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information and analysis services</w:t>
        </w:r>
      </w:hyperlink>
      <w:r w:rsidR="00FC31B5" w:rsidRPr="00E015DC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914A45" w:rsidRPr="00E015DC">
        <w:rPr>
          <w:rFonts w:asciiTheme="majorBidi" w:hAnsiTheme="majorBidi" w:cstheme="majorBidi"/>
          <w:sz w:val="28"/>
          <w:szCs w:val="28"/>
          <w:lang w:val="en-US"/>
        </w:rPr>
        <w:t xml:space="preserve">All subscribers gain access to the most up-to-date and accurate information on the commodity exchange market of the Republic of Belarus. Unique data offered by the Exchange serve as a basis for making key </w:t>
      </w:r>
      <w:r w:rsidR="00914A45" w:rsidRPr="00E015DC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managerial decisions and </w:t>
      </w:r>
      <w:r w:rsidR="00013B0A" w:rsidRPr="00E015DC">
        <w:rPr>
          <w:rFonts w:asciiTheme="majorBidi" w:hAnsiTheme="majorBidi" w:cstheme="majorBidi"/>
          <w:sz w:val="28"/>
          <w:szCs w:val="28"/>
          <w:lang w:val="en-US"/>
        </w:rPr>
        <w:t>present market participants with an extra competitive advantage.</w:t>
      </w:r>
      <w:r w:rsidR="00B15EB7"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A0A7C"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66882" w:rsidRPr="00E015DC" w:rsidRDefault="00E66882" w:rsidP="00803B5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</w:p>
    <w:p w:rsidR="00803B5D" w:rsidRPr="00E015DC" w:rsidRDefault="000074BF" w:rsidP="000074B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Use </w:t>
      </w:r>
      <w:hyperlink r:id="rId21" w:history="1">
        <w:r w:rsidRPr="00C65DBC">
          <w:rPr>
            <w:rStyle w:val="Hyperlink"/>
            <w:rFonts w:asciiTheme="majorBidi" w:eastAsia="Times New Roman" w:hAnsiTheme="majorBidi" w:cstheme="majorBidi"/>
            <w:b/>
            <w:bCs/>
            <w:sz w:val="28"/>
            <w:szCs w:val="28"/>
            <w:lang w:val="en-US" w:eastAsia="ru-RU"/>
          </w:rPr>
          <w:t>this link</w:t>
        </w:r>
      </w:hyperlink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 to</w:t>
      </w:r>
      <w:r w:rsidR="00B34DF6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 </w:t>
      </w:r>
      <w:r w:rsidR="00DF212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 w:bidi="ar-EG"/>
        </w:rPr>
        <w:t xml:space="preserve">view or </w:t>
      </w:r>
      <w:r w:rsidR="00B34DF6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download the</w:t>
      </w: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 most recent presentation materials</w:t>
      </w:r>
      <w:r w:rsidR="001771BA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. </w:t>
      </w:r>
    </w:p>
    <w:p w:rsidR="001771BA" w:rsidRPr="00E015DC" w:rsidRDefault="001771BA" w:rsidP="00803B5D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</w:p>
    <w:p w:rsidR="00803B5D" w:rsidRPr="00E015DC" w:rsidRDefault="000074BF" w:rsidP="00803B5D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Contacts</w:t>
      </w:r>
    </w:p>
    <w:p w:rsidR="00803B5D" w:rsidRPr="00E015DC" w:rsidRDefault="000074BF" w:rsidP="000074BF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</w:pP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Republic of Belarus</w:t>
      </w:r>
      <w:r w:rsidR="00803B5D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, 220099, </w:t>
      </w: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Minsk</w:t>
      </w:r>
      <w:r w:rsidR="00803B5D"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 xml:space="preserve">, </w:t>
      </w: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Kazintsa 2-200</w:t>
      </w:r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03B5D" w:rsidRPr="00E015DC" w:rsidRDefault="002F249B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Metal</w:t>
      </w:r>
      <w:r w:rsidR="00983008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</w:t>
      </w:r>
      <w:r w:rsidR="00D5324E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roducts</w:t>
      </w:r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(+375 17) 309-37-31, </w:t>
      </w:r>
      <w:hyperlink r:id="rId22" w:history="1">
        <w:r w:rsidRPr="00E015DC">
          <w:rPr>
            <w:rFonts w:asciiTheme="majorBidi" w:hAnsiTheme="majorBidi" w:cstheme="majorBidi"/>
            <w:sz w:val="28"/>
            <w:szCs w:val="28"/>
            <w:lang w:val="en-US"/>
          </w:rPr>
          <w:t>e.bureiko@butb.by</w:t>
        </w:r>
      </w:hyperlink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:rsidR="00803B5D" w:rsidRPr="00E015DC" w:rsidRDefault="002F249B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Timber</w:t>
      </w:r>
      <w:r w:rsidR="00983008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</w:t>
      </w:r>
      <w:r w:rsidR="00D5324E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roducts</w:t>
      </w:r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(+375 17) 309-32-44, </w:t>
      </w:r>
      <w:hyperlink r:id="rId23" w:history="1">
        <w:r w:rsidRPr="00E015DC">
          <w:rPr>
            <w:rFonts w:asciiTheme="majorBidi" w:hAnsiTheme="majorBidi" w:cstheme="majorBidi"/>
            <w:sz w:val="28"/>
            <w:szCs w:val="28"/>
            <w:lang w:val="en-US"/>
          </w:rPr>
          <w:t>e.malyshev@butb.by</w:t>
        </w:r>
      </w:hyperlink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:rsidR="00803B5D" w:rsidRPr="00E015DC" w:rsidRDefault="00983008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Agricultural P</w:t>
      </w:r>
      <w:r w:rsidR="002F249B"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roducts</w:t>
      </w:r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(+375 17) 309-32-01, </w:t>
      </w:r>
      <w:hyperlink r:id="rId24" w:history="1">
        <w:r w:rsidRPr="00E015DC">
          <w:rPr>
            <w:rFonts w:asciiTheme="majorBidi" w:hAnsiTheme="majorBidi" w:cstheme="majorBidi"/>
            <w:sz w:val="28"/>
            <w:szCs w:val="28"/>
            <w:lang w:val="en-US"/>
          </w:rPr>
          <w:t>v.dereshov@butb.by</w:t>
        </w:r>
      </w:hyperlink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:rsidR="00803B5D" w:rsidRPr="00E015DC" w:rsidRDefault="002F249B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Industrial and Consumer Goods</w:t>
      </w:r>
    </w:p>
    <w:p w:rsidR="00803B5D" w:rsidRPr="00E015DC" w:rsidRDefault="00E73575" w:rsidP="006634D2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634D2" w:rsidRPr="00E015DC">
        <w:rPr>
          <w:rFonts w:asciiTheme="majorBidi" w:hAnsiTheme="majorBidi" w:cstheme="majorBidi"/>
          <w:sz w:val="28"/>
          <w:szCs w:val="28"/>
          <w:lang w:val="en-US"/>
        </w:rPr>
        <w:t>(+375 17) 309-32-32</w:t>
      </w: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hyperlink r:id="rId25" w:history="1">
        <w:r w:rsidRPr="00E015DC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e.miklashevich</w:t>
        </w:r>
        <w:r w:rsidRPr="0097627D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@butb.by</w:t>
        </w:r>
      </w:hyperlink>
      <w:r w:rsidR="00803B5D" w:rsidRPr="00E015DC">
        <w:rPr>
          <w:rFonts w:asciiTheme="majorBidi" w:hAnsiTheme="majorBidi" w:cstheme="majorBidi"/>
          <w:sz w:val="28"/>
          <w:szCs w:val="28"/>
          <w:lang w:val="en-US"/>
        </w:rPr>
        <w:br/>
      </w:r>
    </w:p>
    <w:p w:rsidR="00803B5D" w:rsidRPr="00E015DC" w:rsidRDefault="002F249B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Foreign Relations</w:t>
      </w:r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(+375 17) 309-32-88, </w:t>
      </w:r>
      <w:hyperlink r:id="rId26" w:history="1">
        <w:r w:rsidRPr="00E015DC">
          <w:rPr>
            <w:rFonts w:asciiTheme="majorBidi" w:hAnsiTheme="majorBidi" w:cstheme="majorBidi"/>
            <w:sz w:val="28"/>
            <w:szCs w:val="28"/>
            <w:lang w:val="en-US"/>
          </w:rPr>
          <w:t>a.bashliy@butb.by</w:t>
        </w:r>
      </w:hyperlink>
    </w:p>
    <w:p w:rsidR="00803B5D" w:rsidRPr="00E015DC" w:rsidRDefault="00803B5D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:rsidR="00803B5D" w:rsidRPr="00E015DC" w:rsidRDefault="002F249B" w:rsidP="00803B5D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b/>
          <w:bCs/>
          <w:sz w:val="28"/>
          <w:szCs w:val="28"/>
          <w:lang w:val="en-US"/>
        </w:rPr>
        <w:t>Government Procurements</w:t>
      </w:r>
    </w:p>
    <w:p w:rsidR="00301340" w:rsidRDefault="00D66140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t xml:space="preserve">(+375 17) 309-37-45, </w:t>
      </w:r>
      <w:hyperlink r:id="rId27" w:history="1">
        <w:r w:rsidR="00803B5D" w:rsidRPr="00E015DC">
          <w:rPr>
            <w:rFonts w:asciiTheme="majorBidi" w:hAnsiTheme="majorBidi" w:cstheme="majorBidi"/>
            <w:sz w:val="28"/>
            <w:szCs w:val="28"/>
            <w:lang w:val="en-US"/>
          </w:rPr>
          <w:t>zakupki@butb.by</w:t>
        </w:r>
      </w:hyperlink>
    </w:p>
    <w:p w:rsidR="00301340" w:rsidRDefault="00301340" w:rsidP="00803B5D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</w:p>
    <w:p w:rsidR="00301340" w:rsidRPr="00E015DC" w:rsidRDefault="00D3568A" w:rsidP="00301340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Information services</w:t>
      </w:r>
    </w:p>
    <w:p w:rsidR="00D3568A" w:rsidRPr="00D3568A" w:rsidRDefault="00D3568A" w:rsidP="00D3568A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D3568A">
        <w:rPr>
          <w:rFonts w:asciiTheme="majorBidi" w:hAnsiTheme="majorBidi" w:cstheme="majorBidi"/>
          <w:sz w:val="28"/>
          <w:szCs w:val="28"/>
          <w:lang w:val="en-US"/>
        </w:rPr>
        <w:t xml:space="preserve">(+375 17) 309-32-90, </w:t>
      </w:r>
      <w:r>
        <w:rPr>
          <w:rFonts w:asciiTheme="majorBidi" w:hAnsiTheme="majorBidi" w:cstheme="majorBidi"/>
          <w:sz w:val="28"/>
          <w:szCs w:val="28"/>
          <w:lang w:val="en-US"/>
        </w:rPr>
        <w:t>o.</w:t>
      </w:r>
      <w:hyperlink r:id="rId28" w:history="1">
        <w:r w:rsidRPr="007E4D0C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voytehovich</w:t>
        </w:r>
        <w:r w:rsidRPr="00D3568A">
          <w:rPr>
            <w:rStyle w:val="Hyperlink"/>
            <w:rFonts w:asciiTheme="majorBidi" w:hAnsiTheme="majorBidi" w:cstheme="majorBidi"/>
            <w:sz w:val="28"/>
            <w:szCs w:val="28"/>
            <w:lang w:val="en-US"/>
          </w:rPr>
          <w:t>@butb.by</w:t>
        </w:r>
      </w:hyperlink>
    </w:p>
    <w:p w:rsidR="00803B5D" w:rsidRPr="00E015DC" w:rsidRDefault="00803B5D" w:rsidP="00301340">
      <w:pPr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hAnsiTheme="majorBidi" w:cstheme="majorBidi"/>
          <w:sz w:val="28"/>
          <w:szCs w:val="28"/>
          <w:lang w:val="en-US"/>
        </w:rPr>
        <w:br/>
      </w:r>
    </w:p>
    <w:p w:rsidR="00803B5D" w:rsidRPr="00E015DC" w:rsidRDefault="00803B5D" w:rsidP="00803B5D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 w:bidi="ar-EG"/>
        </w:rPr>
      </w:pPr>
    </w:p>
    <w:p w:rsidR="00D23998" w:rsidRPr="00D3568A" w:rsidRDefault="00803B5D" w:rsidP="001771BA">
      <w:pPr>
        <w:spacing w:after="0"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E015D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 w:bidi="ar-EG"/>
        </w:rPr>
        <w:t>WWW.BUTB.BY</w:t>
      </w:r>
    </w:p>
    <w:sectPr w:rsidR="00D23998" w:rsidRPr="00D3568A" w:rsidSect="008E1A37">
      <w:footerReference w:type="default" r:id="rId2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28" w:rsidRDefault="00F62D28" w:rsidP="00145D9B">
      <w:pPr>
        <w:spacing w:after="0" w:line="240" w:lineRule="auto"/>
      </w:pPr>
      <w:r>
        <w:separator/>
      </w:r>
    </w:p>
  </w:endnote>
  <w:endnote w:type="continuationSeparator" w:id="0">
    <w:p w:rsidR="00F62D28" w:rsidRDefault="00F62D28" w:rsidP="0014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63821"/>
      <w:docPartObj>
        <w:docPartGallery w:val="Page Numbers (Bottom of Page)"/>
        <w:docPartUnique/>
      </w:docPartObj>
    </w:sdtPr>
    <w:sdtEndPr/>
    <w:sdtContent>
      <w:p w:rsidR="00145D9B" w:rsidRDefault="00145D9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F6">
          <w:rPr>
            <w:noProof/>
          </w:rPr>
          <w:t>1</w:t>
        </w:r>
        <w:r>
          <w:fldChar w:fldCharType="end"/>
        </w:r>
      </w:p>
    </w:sdtContent>
  </w:sdt>
  <w:p w:rsidR="00145D9B" w:rsidRDefault="00145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28" w:rsidRDefault="00F62D28" w:rsidP="00145D9B">
      <w:pPr>
        <w:spacing w:after="0" w:line="240" w:lineRule="auto"/>
      </w:pPr>
      <w:r>
        <w:separator/>
      </w:r>
    </w:p>
  </w:footnote>
  <w:footnote w:type="continuationSeparator" w:id="0">
    <w:p w:rsidR="00F62D28" w:rsidRDefault="00F62D28" w:rsidP="0014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FD2"/>
    <w:multiLevelType w:val="hybridMultilevel"/>
    <w:tmpl w:val="55504CE8"/>
    <w:lvl w:ilvl="0" w:tplc="C5DAF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4A1A"/>
    <w:multiLevelType w:val="hybridMultilevel"/>
    <w:tmpl w:val="AD26FAFE"/>
    <w:lvl w:ilvl="0" w:tplc="491C3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B14F3"/>
    <w:multiLevelType w:val="hybridMultilevel"/>
    <w:tmpl w:val="51C6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101A8"/>
    <w:multiLevelType w:val="hybridMultilevel"/>
    <w:tmpl w:val="6F06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5D"/>
    <w:rsid w:val="000074BF"/>
    <w:rsid w:val="00013B0A"/>
    <w:rsid w:val="000237F5"/>
    <w:rsid w:val="00042BFC"/>
    <w:rsid w:val="00044DF7"/>
    <w:rsid w:val="00055CEE"/>
    <w:rsid w:val="000831F4"/>
    <w:rsid w:val="000B0888"/>
    <w:rsid w:val="000D037D"/>
    <w:rsid w:val="000D4923"/>
    <w:rsid w:val="0012382B"/>
    <w:rsid w:val="00131A15"/>
    <w:rsid w:val="00140A9D"/>
    <w:rsid w:val="00140DAF"/>
    <w:rsid w:val="00145D9B"/>
    <w:rsid w:val="00153EE3"/>
    <w:rsid w:val="001771BA"/>
    <w:rsid w:val="0018059D"/>
    <w:rsid w:val="0018461C"/>
    <w:rsid w:val="001A04EA"/>
    <w:rsid w:val="001A0A7C"/>
    <w:rsid w:val="001D677A"/>
    <w:rsid w:val="001D73E8"/>
    <w:rsid w:val="001E3184"/>
    <w:rsid w:val="00211EDE"/>
    <w:rsid w:val="00214068"/>
    <w:rsid w:val="00232949"/>
    <w:rsid w:val="00233071"/>
    <w:rsid w:val="00243030"/>
    <w:rsid w:val="00257FCC"/>
    <w:rsid w:val="002604F6"/>
    <w:rsid w:val="0029240B"/>
    <w:rsid w:val="0029267E"/>
    <w:rsid w:val="00297F81"/>
    <w:rsid w:val="002A012E"/>
    <w:rsid w:val="002A03C8"/>
    <w:rsid w:val="002A314B"/>
    <w:rsid w:val="002A3367"/>
    <w:rsid w:val="002A42EC"/>
    <w:rsid w:val="002B2FFA"/>
    <w:rsid w:val="002B7B7C"/>
    <w:rsid w:val="002D0AC3"/>
    <w:rsid w:val="002D55C8"/>
    <w:rsid w:val="002F249B"/>
    <w:rsid w:val="002F4E4C"/>
    <w:rsid w:val="00301340"/>
    <w:rsid w:val="00303F63"/>
    <w:rsid w:val="00314640"/>
    <w:rsid w:val="00346CB3"/>
    <w:rsid w:val="00354130"/>
    <w:rsid w:val="00382B19"/>
    <w:rsid w:val="003844A8"/>
    <w:rsid w:val="0039234F"/>
    <w:rsid w:val="00393829"/>
    <w:rsid w:val="003C5929"/>
    <w:rsid w:val="003D4FE7"/>
    <w:rsid w:val="003E4BA1"/>
    <w:rsid w:val="00407755"/>
    <w:rsid w:val="0042548B"/>
    <w:rsid w:val="00441F9B"/>
    <w:rsid w:val="00451D72"/>
    <w:rsid w:val="00457E96"/>
    <w:rsid w:val="0046453B"/>
    <w:rsid w:val="0049003A"/>
    <w:rsid w:val="005602C0"/>
    <w:rsid w:val="00561695"/>
    <w:rsid w:val="00565475"/>
    <w:rsid w:val="00565ECC"/>
    <w:rsid w:val="0057056E"/>
    <w:rsid w:val="005D4189"/>
    <w:rsid w:val="0063004D"/>
    <w:rsid w:val="0063732A"/>
    <w:rsid w:val="00640965"/>
    <w:rsid w:val="006634D2"/>
    <w:rsid w:val="0068223C"/>
    <w:rsid w:val="00691B8C"/>
    <w:rsid w:val="006A422F"/>
    <w:rsid w:val="006A5A22"/>
    <w:rsid w:val="006B7283"/>
    <w:rsid w:val="006C115F"/>
    <w:rsid w:val="006C1382"/>
    <w:rsid w:val="006E612D"/>
    <w:rsid w:val="006E7B6E"/>
    <w:rsid w:val="007141BB"/>
    <w:rsid w:val="00723151"/>
    <w:rsid w:val="00726C62"/>
    <w:rsid w:val="00776EAC"/>
    <w:rsid w:val="00790072"/>
    <w:rsid w:val="00792CB4"/>
    <w:rsid w:val="007959F7"/>
    <w:rsid w:val="007A3B9E"/>
    <w:rsid w:val="007D23BF"/>
    <w:rsid w:val="00803B5D"/>
    <w:rsid w:val="00805414"/>
    <w:rsid w:val="00811F93"/>
    <w:rsid w:val="00825C70"/>
    <w:rsid w:val="00830CFA"/>
    <w:rsid w:val="0083657F"/>
    <w:rsid w:val="0084384B"/>
    <w:rsid w:val="00846AD6"/>
    <w:rsid w:val="00886C8F"/>
    <w:rsid w:val="00895A6C"/>
    <w:rsid w:val="008A2442"/>
    <w:rsid w:val="008B4003"/>
    <w:rsid w:val="008B57DD"/>
    <w:rsid w:val="008D32EF"/>
    <w:rsid w:val="008E1A37"/>
    <w:rsid w:val="008E5281"/>
    <w:rsid w:val="008F7397"/>
    <w:rsid w:val="00914A45"/>
    <w:rsid w:val="00916B8D"/>
    <w:rsid w:val="009313DB"/>
    <w:rsid w:val="00936C92"/>
    <w:rsid w:val="00940BEE"/>
    <w:rsid w:val="00967F9E"/>
    <w:rsid w:val="0097627D"/>
    <w:rsid w:val="00983008"/>
    <w:rsid w:val="00987EF4"/>
    <w:rsid w:val="009A05EA"/>
    <w:rsid w:val="009B2106"/>
    <w:rsid w:val="009E4F05"/>
    <w:rsid w:val="009F69A7"/>
    <w:rsid w:val="00A26099"/>
    <w:rsid w:val="00A4181E"/>
    <w:rsid w:val="00A55777"/>
    <w:rsid w:val="00A83558"/>
    <w:rsid w:val="00A93140"/>
    <w:rsid w:val="00AB44D4"/>
    <w:rsid w:val="00AD1806"/>
    <w:rsid w:val="00AD4E7F"/>
    <w:rsid w:val="00AE2461"/>
    <w:rsid w:val="00AE34E2"/>
    <w:rsid w:val="00AE51F5"/>
    <w:rsid w:val="00AF265A"/>
    <w:rsid w:val="00B01192"/>
    <w:rsid w:val="00B15EB7"/>
    <w:rsid w:val="00B17AD8"/>
    <w:rsid w:val="00B21C9A"/>
    <w:rsid w:val="00B226D1"/>
    <w:rsid w:val="00B34DF6"/>
    <w:rsid w:val="00B4386E"/>
    <w:rsid w:val="00B84456"/>
    <w:rsid w:val="00B91A7E"/>
    <w:rsid w:val="00B96063"/>
    <w:rsid w:val="00BA76E2"/>
    <w:rsid w:val="00BC657C"/>
    <w:rsid w:val="00BF0441"/>
    <w:rsid w:val="00BF1BFB"/>
    <w:rsid w:val="00C064D6"/>
    <w:rsid w:val="00C23692"/>
    <w:rsid w:val="00C26AA4"/>
    <w:rsid w:val="00C31091"/>
    <w:rsid w:val="00C43E77"/>
    <w:rsid w:val="00C60104"/>
    <w:rsid w:val="00C65DBC"/>
    <w:rsid w:val="00C94C3D"/>
    <w:rsid w:val="00C94C9E"/>
    <w:rsid w:val="00C9774C"/>
    <w:rsid w:val="00CA0BBF"/>
    <w:rsid w:val="00CA50A3"/>
    <w:rsid w:val="00CB4A66"/>
    <w:rsid w:val="00CC127A"/>
    <w:rsid w:val="00CD62CF"/>
    <w:rsid w:val="00D00A72"/>
    <w:rsid w:val="00D06382"/>
    <w:rsid w:val="00D15561"/>
    <w:rsid w:val="00D21D71"/>
    <w:rsid w:val="00D23998"/>
    <w:rsid w:val="00D3568A"/>
    <w:rsid w:val="00D5324E"/>
    <w:rsid w:val="00D55EBC"/>
    <w:rsid w:val="00D63097"/>
    <w:rsid w:val="00D66140"/>
    <w:rsid w:val="00D702B8"/>
    <w:rsid w:val="00D707E5"/>
    <w:rsid w:val="00D76FE0"/>
    <w:rsid w:val="00D772B6"/>
    <w:rsid w:val="00D87FC2"/>
    <w:rsid w:val="00DA60EC"/>
    <w:rsid w:val="00DC1C71"/>
    <w:rsid w:val="00DC2EAC"/>
    <w:rsid w:val="00DC7590"/>
    <w:rsid w:val="00DF212E"/>
    <w:rsid w:val="00E015DC"/>
    <w:rsid w:val="00E06193"/>
    <w:rsid w:val="00E11140"/>
    <w:rsid w:val="00E13E31"/>
    <w:rsid w:val="00E2151B"/>
    <w:rsid w:val="00E325DB"/>
    <w:rsid w:val="00E66882"/>
    <w:rsid w:val="00E73575"/>
    <w:rsid w:val="00E86775"/>
    <w:rsid w:val="00EC54F5"/>
    <w:rsid w:val="00EC6FA1"/>
    <w:rsid w:val="00EF1000"/>
    <w:rsid w:val="00F21C37"/>
    <w:rsid w:val="00F505AF"/>
    <w:rsid w:val="00F527F6"/>
    <w:rsid w:val="00F62D28"/>
    <w:rsid w:val="00F7600E"/>
    <w:rsid w:val="00F7740E"/>
    <w:rsid w:val="00F8596D"/>
    <w:rsid w:val="00FA367D"/>
    <w:rsid w:val="00FA67F8"/>
    <w:rsid w:val="00FC31B5"/>
    <w:rsid w:val="00FD23EC"/>
    <w:rsid w:val="00FE48D1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5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лассик"/>
    <w:basedOn w:val="Normal"/>
    <w:qFormat/>
    <w:rsid w:val="008A2442"/>
    <w:pPr>
      <w:spacing w:after="0" w:line="240" w:lineRule="auto"/>
      <w:contextualSpacing/>
      <w:jc w:val="both"/>
    </w:pPr>
    <w:rPr>
      <w:rFonts w:asciiTheme="majorBidi" w:hAnsiTheme="majorBidi" w:cstheme="majorBidi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03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E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9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4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9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5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Классик"/>
    <w:basedOn w:val="Normal"/>
    <w:qFormat/>
    <w:rsid w:val="008A2442"/>
    <w:pPr>
      <w:spacing w:after="0" w:line="240" w:lineRule="auto"/>
      <w:contextualSpacing/>
      <w:jc w:val="both"/>
    </w:pPr>
    <w:rPr>
      <w:rFonts w:asciiTheme="majorBidi" w:hAnsiTheme="majorBidi" w:cstheme="majorBidi"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03B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E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D9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4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D9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tb.by/engl/?page=21" TargetMode="External"/><Relationship Id="rId18" Type="http://schemas.openxmlformats.org/officeDocument/2006/relationships/hyperlink" Target="http://zakupki.butb.by/auctions/index.html" TargetMode="External"/><Relationship Id="rId26" Type="http://schemas.openxmlformats.org/officeDocument/2006/relationships/hyperlink" Target="mailto:a.bashliy@butb.b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tb.by/?page=35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utb.by/engl/?page=20" TargetMode="External"/><Relationship Id="rId17" Type="http://schemas.openxmlformats.org/officeDocument/2006/relationships/hyperlink" Target="http://butb.by/?page=42" TargetMode="External"/><Relationship Id="rId25" Type="http://schemas.openxmlformats.org/officeDocument/2006/relationships/hyperlink" Target="mailto:e.miklashevich@butb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zk.by/" TargetMode="External"/><Relationship Id="rId20" Type="http://schemas.openxmlformats.org/officeDocument/2006/relationships/hyperlink" Target="http://butb.by/engl/?page=7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tb.by/engl/?page=18" TargetMode="External"/><Relationship Id="rId24" Type="http://schemas.openxmlformats.org/officeDocument/2006/relationships/hyperlink" Target="mailto:v.dereshov@butb.b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gl.ecp.by/" TargetMode="External"/><Relationship Id="rId23" Type="http://schemas.openxmlformats.org/officeDocument/2006/relationships/hyperlink" Target="mailto:e.malyshev@butb.by" TargetMode="External"/><Relationship Id="rId28" Type="http://schemas.openxmlformats.org/officeDocument/2006/relationships/hyperlink" Target="mailto:voytehovich@butb.by" TargetMode="External"/><Relationship Id="rId10" Type="http://schemas.openxmlformats.org/officeDocument/2006/relationships/hyperlink" Target="http://butb.by/engl/?page=18" TargetMode="External"/><Relationship Id="rId19" Type="http://schemas.openxmlformats.org/officeDocument/2006/relationships/hyperlink" Target="http://ecp.by/index.php?page=29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s.butb.by/ppt/en" TargetMode="External"/><Relationship Id="rId22" Type="http://schemas.openxmlformats.org/officeDocument/2006/relationships/hyperlink" Target="mailto:e.bureiko@butb.by" TargetMode="External"/><Relationship Id="rId27" Type="http://schemas.openxmlformats.org/officeDocument/2006/relationships/hyperlink" Target="mailto:zakupki@butb.b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29C7-5CD4-4D90-9429-08B702D8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Янив Роман Евгеньевич</dc:creator>
  <cp:lastModifiedBy>Idn_Diplomat2</cp:lastModifiedBy>
  <cp:revision>2</cp:revision>
  <dcterms:created xsi:type="dcterms:W3CDTF">2015-08-06T07:17:00Z</dcterms:created>
  <dcterms:modified xsi:type="dcterms:W3CDTF">2015-08-06T07:17:00Z</dcterms:modified>
</cp:coreProperties>
</file>